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BD" w:rsidRDefault="00046ABD" w:rsidP="00046ABD">
      <w:pPr>
        <w:spacing w:after="0" w:line="271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ABD" w:rsidRPr="00046ABD" w:rsidRDefault="00046ABD" w:rsidP="00046ABD">
      <w:pPr>
        <w:spacing w:after="0" w:line="271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A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046ABD" w:rsidRPr="00046ABD" w:rsidRDefault="00046ABD" w:rsidP="00046ABD">
      <w:pPr>
        <w:spacing w:after="0" w:line="271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A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 29» </w:t>
      </w:r>
    </w:p>
    <w:p w:rsidR="00046ABD" w:rsidRPr="00046ABD" w:rsidRDefault="00046ABD" w:rsidP="00046ABD">
      <w:pPr>
        <w:spacing w:after="0" w:line="271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ABD">
        <w:rPr>
          <w:rFonts w:ascii="Times New Roman" w:eastAsia="Times New Roman" w:hAnsi="Times New Roman" w:cs="Times New Roman"/>
          <w:b/>
          <w:bCs/>
          <w:sz w:val="28"/>
          <w:szCs w:val="28"/>
        </w:rPr>
        <w:t>(дошкольное отделение «Семицветик»)</w:t>
      </w:r>
    </w:p>
    <w:p w:rsidR="00046ABD" w:rsidRPr="00046ABD" w:rsidRDefault="00046ABD" w:rsidP="00046ABD">
      <w:pPr>
        <w:spacing w:after="0" w:line="271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20A5" w:rsidRPr="002920A5" w:rsidRDefault="002920A5" w:rsidP="002920A5">
      <w:pPr>
        <w:spacing w:after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Рассмотрено на заседании                                        УТВЕРЖДАЮ</w:t>
      </w:r>
    </w:p>
    <w:p w:rsidR="002920A5" w:rsidRPr="002920A5" w:rsidRDefault="002920A5" w:rsidP="002920A5">
      <w:pPr>
        <w:spacing w:after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Педагогического совета                                         директор МБОУ СОШ № 29</w:t>
      </w:r>
    </w:p>
    <w:p w:rsidR="002920A5" w:rsidRPr="002920A5" w:rsidRDefault="002920A5" w:rsidP="002920A5">
      <w:pPr>
        <w:spacing w:after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МБОУ СОШ № 29                                                    _________/ </w:t>
      </w:r>
      <w:proofErr w:type="spellStart"/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Хазова</w:t>
      </w:r>
      <w:proofErr w:type="spellEnd"/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Н.А. </w:t>
      </w:r>
    </w:p>
    <w:p w:rsidR="002920A5" w:rsidRPr="002920A5" w:rsidRDefault="002920A5" w:rsidP="002920A5">
      <w:pPr>
        <w:spacing w:after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Протокол№___</w:t>
      </w:r>
      <w:proofErr w:type="gramStart"/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  от</w:t>
      </w:r>
      <w:proofErr w:type="gramEnd"/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__________20_г.                   «____</w:t>
      </w:r>
      <w:proofErr w:type="gramStart"/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_»_</w:t>
      </w:r>
      <w:proofErr w:type="gramEnd"/>
      <w:r w:rsidRPr="002920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________20__г.    </w:t>
      </w:r>
    </w:p>
    <w:p w:rsidR="00046ABD" w:rsidRPr="00046ABD" w:rsidRDefault="00046ABD" w:rsidP="00046ABD">
      <w:pPr>
        <w:spacing w:after="0" w:line="271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ABD" w:rsidRPr="00046ABD" w:rsidRDefault="00046ABD" w:rsidP="00046ABD">
      <w:pPr>
        <w:spacing w:after="0" w:line="271" w:lineRule="auto"/>
        <w:ind w:left="10" w:right="1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6ABD" w:rsidRPr="00046ABD" w:rsidRDefault="00046ABD" w:rsidP="00046ABD">
      <w:pPr>
        <w:spacing w:after="82"/>
        <w:ind w:left="-322" w:right="-248"/>
        <w:rPr>
          <w:rFonts w:ascii="Times New Roman" w:eastAsia="Times New Roman" w:hAnsi="Times New Roman" w:cs="Times New Roman"/>
          <w:sz w:val="28"/>
        </w:rPr>
      </w:pPr>
    </w:p>
    <w:p w:rsidR="00046ABD" w:rsidRPr="00046ABD" w:rsidRDefault="00046ABD" w:rsidP="00046ABD">
      <w:pPr>
        <w:spacing w:after="375"/>
        <w:ind w:right="798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</w:rPr>
        <w:t xml:space="preserve"> </w:t>
      </w:r>
    </w:p>
    <w:p w:rsidR="00046ABD" w:rsidRPr="00046ABD" w:rsidRDefault="00046ABD" w:rsidP="00046ABD">
      <w:pPr>
        <w:spacing w:after="102" w:line="240" w:lineRule="auto"/>
        <w:ind w:left="1880" w:hanging="103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46ABD">
        <w:rPr>
          <w:rFonts w:ascii="Times New Roman" w:eastAsia="Times New Roman" w:hAnsi="Times New Roman" w:cs="Times New Roman"/>
          <w:b/>
          <w:sz w:val="32"/>
        </w:rPr>
        <w:t xml:space="preserve">Дополнительная общеразвивающая программа  </w:t>
      </w:r>
    </w:p>
    <w:p w:rsidR="00046ABD" w:rsidRDefault="00046ABD" w:rsidP="00046ABD">
      <w:pPr>
        <w:spacing w:after="63" w:line="240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«Разговор о правильном питании»</w:t>
      </w:r>
    </w:p>
    <w:p w:rsidR="00046ABD" w:rsidRPr="00046ABD" w:rsidRDefault="00046ABD" w:rsidP="00046ABD">
      <w:pPr>
        <w:spacing w:after="63" w:line="240" w:lineRule="auto"/>
        <w:ind w:left="10" w:right="8" w:hanging="10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>Возраст обучающихся 5-7 лет</w:t>
      </w:r>
    </w:p>
    <w:p w:rsidR="00046ABD" w:rsidRPr="00046ABD" w:rsidRDefault="00046ABD" w:rsidP="00046ABD">
      <w:pPr>
        <w:spacing w:after="96" w:line="240" w:lineRule="auto"/>
        <w:ind w:left="10" w:right="6" w:hanging="10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>Срок обучения 2 года</w:t>
      </w:r>
    </w:p>
    <w:p w:rsidR="00046ABD" w:rsidRPr="00046ABD" w:rsidRDefault="00046ABD" w:rsidP="00046ABD">
      <w:pPr>
        <w:spacing w:after="223"/>
        <w:ind w:left="77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46ABD" w:rsidRPr="00046ABD" w:rsidRDefault="00046ABD" w:rsidP="00046ABD">
      <w:pPr>
        <w:spacing w:after="225"/>
        <w:ind w:left="77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46ABD" w:rsidRPr="00046ABD" w:rsidRDefault="00046ABD" w:rsidP="00046ABD">
      <w:pPr>
        <w:spacing w:after="196"/>
        <w:ind w:left="77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46ABD" w:rsidRPr="00046ABD" w:rsidRDefault="00046ABD" w:rsidP="00046ABD">
      <w:pPr>
        <w:spacing w:after="0" w:line="276" w:lineRule="auto"/>
        <w:ind w:left="3668" w:right="1"/>
        <w:jc w:val="right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Автор - составитель: </w:t>
      </w:r>
      <w:r>
        <w:rPr>
          <w:rFonts w:ascii="Times New Roman" w:eastAsia="Times New Roman" w:hAnsi="Times New Roman" w:cs="Times New Roman"/>
          <w:b/>
          <w:sz w:val="24"/>
        </w:rPr>
        <w:t xml:space="preserve">Морозова Галина Владимировна </w:t>
      </w:r>
      <w:r w:rsidRPr="00046ABD">
        <w:rPr>
          <w:rFonts w:ascii="Times New Roman" w:eastAsia="Times New Roman" w:hAnsi="Times New Roman" w:cs="Times New Roman"/>
          <w:b/>
          <w:sz w:val="24"/>
        </w:rPr>
        <w:t>воспитатель высшей квалификационной категории.</w:t>
      </w:r>
      <w:r w:rsidRPr="00046AB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46ABD" w:rsidRPr="00046ABD" w:rsidRDefault="00046ABD" w:rsidP="00046ABD">
      <w:pPr>
        <w:spacing w:after="148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46ABD" w:rsidRPr="00046ABD" w:rsidRDefault="00046ABD" w:rsidP="00046ABD">
      <w:pPr>
        <w:spacing w:after="16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6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9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6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6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6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9"/>
        <w:ind w:left="3687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6"/>
        <w:ind w:right="486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16"/>
        <w:ind w:right="486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2"/>
        <w:ind w:right="486"/>
        <w:jc w:val="center"/>
        <w:rPr>
          <w:rFonts w:ascii="Times New Roman" w:eastAsia="Times New Roman" w:hAnsi="Times New Roman" w:cs="Times New Roman"/>
          <w:sz w:val="28"/>
        </w:rPr>
      </w:pPr>
      <w:r w:rsidRPr="00046A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ABD" w:rsidRPr="00046ABD" w:rsidRDefault="00046ABD" w:rsidP="00046ABD">
      <w:pPr>
        <w:spacing w:after="0"/>
      </w:pPr>
    </w:p>
    <w:p w:rsidR="00046ABD" w:rsidRDefault="00046ABD" w:rsidP="00046ABD">
      <w:pPr>
        <w:spacing w:after="0"/>
        <w:jc w:val="center"/>
        <w:rPr>
          <w:rFonts w:ascii="Times New Roman" w:hAnsi="Times New Roman" w:cs="Times New Roman"/>
        </w:rPr>
      </w:pPr>
      <w:r w:rsidRPr="00046ABD">
        <w:rPr>
          <w:rFonts w:ascii="Times New Roman" w:hAnsi="Times New Roman" w:cs="Times New Roman"/>
        </w:rPr>
        <w:t>Г. Мытищ</w:t>
      </w:r>
      <w:r>
        <w:rPr>
          <w:rFonts w:ascii="Times New Roman" w:hAnsi="Times New Roman" w:cs="Times New Roman"/>
        </w:rPr>
        <w:t>и</w:t>
      </w:r>
    </w:p>
    <w:p w:rsidR="00046ABD" w:rsidRPr="00046ABD" w:rsidRDefault="00046ABD" w:rsidP="00046AB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46ABD" w:rsidRPr="006217E0" w:rsidRDefault="007E6280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</w:pPr>
      <w:r w:rsidRPr="00046ABD">
        <w:rPr>
          <w:rFonts w:ascii="Times New Roman" w:eastAsia="Times New Roman" w:hAnsi="Times New Roman" w:cs="Times New Roman"/>
          <w:b/>
          <w:i/>
          <w:color w:val="auto"/>
          <w:sz w:val="24"/>
        </w:rPr>
        <w:lastRenderedPageBreak/>
        <w:t xml:space="preserve"> </w:t>
      </w:r>
      <w:r w:rsidR="00046ABD"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СОДЕРЖАНИЕ</w:t>
      </w:r>
    </w:p>
    <w:p w:rsidR="00046ABD" w:rsidRPr="006217E0" w:rsidRDefault="00046A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</w:pPr>
    </w:p>
    <w:p w:rsidR="00046ABD" w:rsidRPr="006217E0" w:rsidRDefault="00046ABD" w:rsidP="006217E0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</w:pPr>
    </w:p>
    <w:p w:rsidR="00046ABD" w:rsidRPr="006217E0" w:rsidRDefault="00046A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</w:pPr>
      <w:bookmarkStart w:id="0" w:name="_Hlk112952199"/>
      <w:r w:rsidRPr="006217E0">
        <w:rPr>
          <w:rFonts w:ascii="Times New Roman" w:eastAsia="Times New Roman" w:hAnsi="Times New Roman" w:cs="Times New Roman"/>
          <w:b/>
          <w:iCs/>
          <w:color w:val="auto"/>
          <w:sz w:val="28"/>
          <w:szCs w:val="24"/>
        </w:rPr>
        <w:t>I. ЦЕЛЕВОЙ РАЗДЕЛ</w:t>
      </w:r>
      <w:bookmarkEnd w:id="0"/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 xml:space="preserve">…………………………………………………………………… </w:t>
      </w:r>
      <w:r w:rsid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 xml:space="preserve">  </w:t>
      </w:r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3</w:t>
      </w:r>
      <w:r w:rsidR="00F533BD"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стр.</w:t>
      </w:r>
    </w:p>
    <w:p w:rsidR="00046ABD" w:rsidRPr="006217E0" w:rsidRDefault="00046ABD" w:rsidP="006217E0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</w:pPr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1.</w:t>
      </w:r>
      <w:proofErr w:type="gramStart"/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1.Пояснительная</w:t>
      </w:r>
      <w:proofErr w:type="gramEnd"/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 xml:space="preserve"> записка………………………………………………</w:t>
      </w:r>
      <w:r w:rsid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 xml:space="preserve"> </w:t>
      </w:r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 xml:space="preserve"> </w:t>
      </w:r>
      <w:r w:rsid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 xml:space="preserve">   </w:t>
      </w:r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3</w:t>
      </w:r>
      <w:r w:rsidR="00F533BD"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стр.</w:t>
      </w:r>
    </w:p>
    <w:p w:rsidR="00F533BD" w:rsidRPr="006217E0" w:rsidRDefault="00F533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1.2. Цель и задачи программы………………………………………………4тр.</w:t>
      </w:r>
    </w:p>
    <w:p w:rsidR="00F533BD" w:rsidRPr="006217E0" w:rsidRDefault="00F533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1.3. Принципы построения и реализации программы……………………</w:t>
      </w:r>
      <w:r w:rsid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5стр.</w:t>
      </w:r>
    </w:p>
    <w:p w:rsidR="00F533BD" w:rsidRPr="006217E0" w:rsidRDefault="00F533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II. СОДЕРЖАТЕЛЬНЫЙ РАЗДЕЛ……………………………………………………5стр.</w:t>
      </w:r>
    </w:p>
    <w:p w:rsidR="00F533BD" w:rsidRPr="006217E0" w:rsidRDefault="00F533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1.Основные</w:t>
      </w:r>
      <w:proofErr w:type="gram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 программы……………………………………5стр.</w:t>
      </w:r>
    </w:p>
    <w:p w:rsidR="00F533BD" w:rsidRPr="006217E0" w:rsidRDefault="00F533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2.2 Формы работы</w:t>
      </w:r>
      <w:r w:rsidR="009C6944" w:rsidRPr="006217E0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   5стр.</w:t>
      </w:r>
    </w:p>
    <w:p w:rsidR="00F533BD" w:rsidRPr="006217E0" w:rsidRDefault="00F533BD" w:rsidP="006217E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III.ОРГАНИЗАЦИОННЫЙ РАЗДЕЛ</w:t>
      </w:r>
      <w:r w:rsidR="009C6944" w:rsidRPr="006217E0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…………………………………………………5стр.</w:t>
      </w:r>
    </w:p>
    <w:p w:rsidR="009C6944" w:rsidRPr="006217E0" w:rsidRDefault="009C6944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3.1. Тематический план………………………………………………………6стр.</w:t>
      </w:r>
    </w:p>
    <w:p w:rsidR="00046ABD" w:rsidRPr="006217E0" w:rsidRDefault="00046ABD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3.</w:t>
      </w:r>
      <w:r w:rsidR="009C6944"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2</w:t>
      </w:r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. Методическое обеспечение программы. …………………………</w:t>
      </w:r>
      <w:proofErr w:type="gramStart"/>
      <w:r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…….</w:t>
      </w:r>
      <w:proofErr w:type="gramEnd"/>
      <w:r w:rsidR="009C6944" w:rsidRPr="006217E0">
        <w:rPr>
          <w:rFonts w:ascii="Times New Roman" w:eastAsia="Times New Roman" w:hAnsi="Times New Roman" w:cs="Times New Roman"/>
          <w:bCs/>
          <w:iCs/>
          <w:color w:val="auto"/>
          <w:sz w:val="28"/>
          <w:szCs w:val="24"/>
        </w:rPr>
        <w:t>7стр.</w:t>
      </w: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046ABD" w:rsidRDefault="00046ABD" w:rsidP="00046ABD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F533BD" w:rsidRDefault="00F533BD" w:rsidP="00F533BD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9C6944" w:rsidRDefault="009C6944" w:rsidP="00F533BD">
      <w:pPr>
        <w:spacing w:after="0" w:line="276" w:lineRule="auto"/>
        <w:rPr>
          <w:rFonts w:ascii="Times New Roman" w:eastAsia="Times New Roman" w:hAnsi="Times New Roman" w:cs="Times New Roman"/>
          <w:b/>
          <w:iCs/>
          <w:color w:val="auto"/>
          <w:sz w:val="24"/>
        </w:rPr>
      </w:pPr>
    </w:p>
    <w:p w:rsidR="009C6944" w:rsidRDefault="009C6944" w:rsidP="006217E0">
      <w:pPr>
        <w:spacing w:after="0" w:line="276" w:lineRule="auto"/>
        <w:rPr>
          <w:rFonts w:ascii="Times New Roman" w:eastAsia="Times New Roman" w:hAnsi="Times New Roman" w:cs="Times New Roman"/>
          <w:b/>
          <w:iCs/>
          <w:color w:val="auto"/>
          <w:sz w:val="24"/>
        </w:rPr>
      </w:pP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lastRenderedPageBreak/>
        <w:t>I. ЦЕЛЕВОЙ РАЗДЕЛ</w:t>
      </w: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</w:t>
      </w:r>
      <w:proofErr w:type="gramEnd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Дошкольное детство – очень важный период в жизни детей. Здоровье детей и его состояние относится к числу важнейших характеристик, определяющих детей в обществе, и отражает состояние здоровья всего общества. А по данным статистики Министерства          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Здравоохранения РФ, состояние здоровья детей дошкольного возраста за последнее десятилетие ухудшилось в связи с изменениями условий жизни и с нарушением питания дошкольников.    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Правильное питание – залог здоровья. У большинства детей нет регулярности в питании, зачастую они используют в пищу те блюда, которые нельзя отнести к разряду полезных (чипсы, шоколад, «газированные напитки»), не соблюдают гигиенические правила и т.д. Поэтому постоянно увеличивается число детей с заболеваниями и функциональными нарушениями, обусловленными нерациональным питанием.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Педагоги ДОУ хорошо знают, что один из самых важных и актуальных проблем дошкольного образования – это проблема формирования основ культуры здоровья, осознанного отношения к своему здоровью у детей.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Одна из главных составляющих здорового образа жизни – это правильное питание.  Именно от правильно организованного питания в детском возрасте во многом зависит состояние здоровья взрослого. Рациональное питание является одним из факторов внешней среды, определяющих нормальное развитие </w:t>
      </w:r>
      <w:proofErr w:type="spell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ребѐнка</w:t>
      </w:r>
      <w:proofErr w:type="spell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Оно оказывает самое непосредственное влияние на жизнедеятельность, рост, состояние здоровья малыша.   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Наиболее важно соблюдение принципов рационального питания детей раннего и дошкольного возраста. Этот период характеризуется интенсивными процессами роста, дальнейшим совершенствованием функций многих органов и систем, особенно нервной системы, усиленными процессами обмена веществ, развитием моторной деятельности.    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К большому сожалению, сегодня также существует проблема правильного питания детей в семье. Многие родители не в состоянии обеспечить своим детям правильного питания из – за отсутствия теоретических знаний. Во многих семьях привыкли кушать не совсем полезную и здоровую пищу: </w:t>
      </w:r>
      <w:proofErr w:type="spell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солѐное</w:t>
      </w:r>
      <w:proofErr w:type="spell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, жареное, жирное, </w:t>
      </w:r>
      <w:proofErr w:type="spell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копчѐное</w:t>
      </w:r>
      <w:proofErr w:type="spell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острое, сладкое. 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Многие родители кормят детей однотипно, дают пищу быстрого приготовления, полуфабрикаты, в лучшем случае – котлеты, картошка, в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худшем – сосиска, макароны, пельмени, из – за этого дети, не привыкшие к здоровой пище, отказываются в детском саду от овощных блюд, кисломолочной продукции, рыбы, творожных запеканок. А ведь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Рабочая программа «Разговор о правильном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питании»  разработана</w:t>
      </w:r>
      <w:proofErr w:type="gram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для детей старшего дошкольного возраста (5-7 лет).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Данная программа способствует воспитанию у детей не только культуры питания, но и формирует первоначальные представления о здоровом образе жизни. Для детей важно не столько получить информацию о полезных продуктах питания, сколько эту информацию сделать фактом своего сознания и жизни.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Программа        разработана        в     соответствии        с     требованиями основных нормативных документов: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1.Федеральным законом «Об образовании в Российской Федерации» от 29.12.2012 № 273-ФЗ.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2. СП 2.4.364-20 «Санитарно-эпидемиологические требования к организациям воспитания и обучения, отдыха и оздоровления детей и молодёжи» от 28.09.2020год №28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3.Приказом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4.Приказ Министерства просвещения Российской Федерации от 31.07.2020 г. № 373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образования".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Программа 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Разговор о правильном питании» разработана       с учётом учебно-методического пособия   М. М. Безруких, Т. А. Филипповой, А. Г. Макеевой «Разговор о правильном питании».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Дошкольникам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 А сохранение здоровья человека находится в прямой зависимости от питания.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Это доказывает актуальность и значимость специального обучения дошкольников основам правильного питания.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Срок реализации программы – 2 год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2953604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1.2. Цель и задачи программы</w:t>
      </w:r>
    </w:p>
    <w:bookmarkEnd w:id="1"/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у детей основ культуры питания, как одной из составляющих здорового образа жизни.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1.Расширять знания детей о правилах питания, направленных на сохранение и укрепление здоровья, формировать готовность соблюдать эти правила.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Формировать навыки правильного питания - как составной части здорового образа жизни.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Пробуждать у детей интерес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Просвятить родителей в вопросах организации правильного питания детей дошкольного возраста.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Данная работа позволяет:</w:t>
      </w:r>
      <w:r w:rsidR="00760DB1"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сформировать у детей начальные представления о здоровом образе жизни, полезные навыки и привычки в области рационального питания, готовность выполнять правила здорового питания, а также постепенно вырабатывает определенные полезные для здорового образа жизни вкусовые предпочтения;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воспитать у детей чувство уважения к людям труда, первоначальные трудовые навыки. </w:t>
      </w:r>
      <w:r w:rsidR="00760DB1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Более того, по признанию большинства родителей работа с детьми в ДОУ по данному направлению постепенно оказывает положительное влияние на организацию структуры питания в семье, сделав его более разнообразным и полезны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12953674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1.3. Принципы построения и реализации программы</w:t>
      </w:r>
    </w:p>
    <w:bookmarkEnd w:id="2"/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«Разговор о правильном питании» построена в соответствии с принципами: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научная обоснованность и практическая целесообразность;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возрастная адекватность;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необходимость и достаточность информации;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модульность программы;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практическая целесообразность;                                                                                             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динамическое развитие и системность;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вовлеченность семьи и реализацию программы;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культурологическая сообразность – в содержании программы отражены исторически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сложившиеся традиции питания, являющиеся частью культуры народов России и других стран.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программы: воспитатели, дети </w:t>
      </w:r>
      <w:r w:rsidR="00760DB1"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старшей и </w:t>
      </w: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группы, родители.</w:t>
      </w:r>
    </w:p>
    <w:p w:rsidR="0048237C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8237C" w:rsidRPr="006217E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научатся сервировать стол и соблюдать правила этикета, а также традициях и кулинарных обычаях, как своей страны, так и других стран.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12953728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II. СОДЕРЖАТЕЛЬНЫЙ РАЗДЕЛ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proofErr w:type="gramStart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1.Основные</w:t>
      </w:r>
      <w:proofErr w:type="gramEnd"/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программы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Программа «Разговор о правильном питании» включает в себя следующие направления: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-формирование потребности в здоровом образе жизни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-формирование духовности дошкольников через отношение к литературе, средствам массовой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информации ;</w:t>
      </w:r>
      <w:proofErr w:type="gramEnd"/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-эстетическое развитие детей;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-сотрудничество семьи и ДОУ.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2.2 Формы работы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-Непосредственно-образовательная деятельность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-Беседы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-Игры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-Экскурсии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-Выставки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-Чтение художественной литературы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-Встречи с интересными людьми</w:t>
      </w: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-Проектная деятельность</w:t>
      </w:r>
    </w:p>
    <w:p w:rsidR="0048237C" w:rsidRPr="006217E0" w:rsidRDefault="00760DB1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III.ОРГАНИЗАЦИОННЫЙ РАЗДЕЛ</w:t>
      </w:r>
    </w:p>
    <w:bookmarkEnd w:id="3"/>
    <w:p w:rsidR="00760DB1" w:rsidRPr="006217E0" w:rsidRDefault="00760DB1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по данному </w:t>
      </w:r>
      <w:proofErr w:type="gramStart"/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>направлению  проводится</w:t>
      </w:r>
      <w:proofErr w:type="gramEnd"/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8237C"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в </w:t>
      </w: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месяц .</w:t>
      </w:r>
    </w:p>
    <w:p w:rsidR="00760DB1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Продолжительность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занятий  не</w:t>
      </w:r>
      <w:proofErr w:type="gram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более 30 минут. </w:t>
      </w:r>
    </w:p>
    <w:p w:rsidR="0048237C" w:rsidRPr="006217E0" w:rsidRDefault="0048237C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учебной нагрузки по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программе  </w:t>
      </w:r>
      <w:r w:rsidR="00760DB1" w:rsidRPr="006217E0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proofErr w:type="gram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в год </w:t>
      </w:r>
    </w:p>
    <w:p w:rsidR="006217E0" w:rsidRDefault="006217E0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12953871"/>
    </w:p>
    <w:p w:rsidR="006217E0" w:rsidRDefault="006217E0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7C" w:rsidRPr="006217E0" w:rsidRDefault="0048237C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760DB1" w:rsidRPr="006217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>. Тематический пл</w:t>
      </w:r>
      <w:r w:rsidR="00760DB1" w:rsidRPr="006217E0">
        <w:rPr>
          <w:rFonts w:ascii="Times New Roman" w:eastAsia="Times New Roman" w:hAnsi="Times New Roman" w:cs="Times New Roman"/>
          <w:b/>
          <w:sz w:val="28"/>
          <w:szCs w:val="28"/>
        </w:rPr>
        <w:t>ан</w:t>
      </w:r>
    </w:p>
    <w:bookmarkEnd w:id="4"/>
    <w:p w:rsidR="008D4F33" w:rsidRPr="0048237C" w:rsidRDefault="008D4F33">
      <w:pPr>
        <w:spacing w:after="0"/>
        <w:ind w:left="6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2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6662"/>
      </w:tblGrid>
      <w:tr w:rsidR="00F533BD" w:rsidRPr="006217E0" w:rsidTr="006217E0">
        <w:trPr>
          <w:trHeight w:val="33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Тема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Задачи </w:t>
            </w:r>
          </w:p>
        </w:tc>
      </w:tr>
    </w:tbl>
    <w:p w:rsidR="008D4F33" w:rsidRPr="006217E0" w:rsidRDefault="008D4F33" w:rsidP="006217E0">
      <w:pPr>
        <w:spacing w:after="0" w:line="276" w:lineRule="auto"/>
        <w:ind w:left="-994" w:right="32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2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3080"/>
        <w:gridCol w:w="6662"/>
      </w:tblGrid>
      <w:tr w:rsidR="00F533BD" w:rsidRPr="006217E0" w:rsidTr="006217E0">
        <w:trPr>
          <w:trHeight w:val="23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3BD" w:rsidRPr="006217E0" w:rsidRDefault="00F533BD" w:rsidP="006217E0">
            <w:pPr>
              <w:spacing w:after="2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3BD" w:rsidRPr="006217E0" w:rsidRDefault="00F533BD" w:rsidP="006217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 Если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хочешь быть здоров»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героями программы. </w:t>
            </w:r>
          </w:p>
          <w:p w:rsidR="00F533BD" w:rsidRPr="006217E0" w:rsidRDefault="00F533BD" w:rsidP="006217E0">
            <w:pPr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 </w:t>
            </w:r>
          </w:p>
        </w:tc>
      </w:tr>
      <w:tr w:rsidR="00F533BD" w:rsidRPr="006217E0" w:rsidTr="006217E0">
        <w:trPr>
          <w:trHeight w:val="21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продукты полезны?» 2ч.</w:t>
            </w:r>
          </w:p>
          <w:p w:rsidR="00F533BD" w:rsidRPr="006217E0" w:rsidRDefault="00F533BD" w:rsidP="006217E0">
            <w:pPr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различать полезные и вредные продукты. Дать знания о том, какие продукты нужно есть каждый 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день,  какие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продукты нужно есть не каждый день или в небольших количествах,  какие продукты нужно есть не часто. </w:t>
            </w:r>
          </w:p>
        </w:tc>
      </w:tr>
      <w:tr w:rsidR="00F533BD" w:rsidRPr="006217E0" w:rsidTr="006217E0">
        <w:trPr>
          <w:trHeight w:val="65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правильно есть»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правилах гигиены перед едой, во время и после еды. </w:t>
            </w:r>
          </w:p>
        </w:tc>
      </w:tr>
      <w:tr w:rsidR="00F533BD" w:rsidRPr="006217E0" w:rsidTr="006217E0">
        <w:trPr>
          <w:trHeight w:val="65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«Советы Хозяюшки»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Напомнить детям правила сервировки стола. </w:t>
            </w:r>
          </w:p>
        </w:tc>
      </w:tr>
      <w:tr w:rsidR="00F533BD" w:rsidRPr="006217E0" w:rsidTr="006217E0">
        <w:trPr>
          <w:trHeight w:val="153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питания»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знания о том, что от того, как, сколько и когда мы едим, зависит физическая, умственная работоспособность, наш внешний вид. Рассказать о вреде переедания.  </w:t>
            </w:r>
          </w:p>
        </w:tc>
      </w:tr>
      <w:tr w:rsidR="00F533BD" w:rsidRPr="006217E0" w:rsidTr="006217E0">
        <w:trPr>
          <w:trHeight w:val="97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 Удивительное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превращение пирожка»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необходимости и важности регулярного питания. </w:t>
            </w:r>
          </w:p>
        </w:tc>
      </w:tr>
      <w:tr w:rsidR="00F533BD" w:rsidRPr="006217E0" w:rsidTr="006217E0">
        <w:trPr>
          <w:trHeight w:val="153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4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3BD" w:rsidRPr="006217E0" w:rsidRDefault="00F533BD" w:rsidP="006217E0">
            <w:pPr>
              <w:spacing w:line="276" w:lineRule="auto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«Из чего готовят каши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? »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представление о 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том,  из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чего варят кашу; о завтраке, как обязательном компоненте ежедневного меню, различных вариантах завтрака.  </w:t>
            </w:r>
          </w:p>
        </w:tc>
      </w:tr>
      <w:tr w:rsidR="00F533BD" w:rsidRPr="006217E0" w:rsidTr="006217E0">
        <w:trPr>
          <w:trHeight w:val="16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5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3BD" w:rsidRPr="006217E0" w:rsidRDefault="00F533BD" w:rsidP="006217E0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«Плох обед, если хлеба 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нет»  2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  <w:p w:rsidR="00F533BD" w:rsidRPr="006217E0" w:rsidRDefault="00F533BD" w:rsidP="006217E0">
            <w:pPr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полезных веществах, содержащихся в хлебе, о необходимости бережного отношение к хлебу, к людям, которые его делают. </w:t>
            </w:r>
          </w:p>
        </w:tc>
      </w:tr>
      <w:tr w:rsidR="00F533BD" w:rsidRPr="006217E0" w:rsidTr="006217E0">
        <w:trPr>
          <w:trHeight w:val="129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4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533BD" w:rsidRPr="006217E0" w:rsidRDefault="00F533BD" w:rsidP="006217E0">
            <w:pPr>
              <w:spacing w:line="276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сказку» 2ч.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детям прослушать отрывки из сказок или рассказов, «героем» которых является каша, угадать название и автора произведения.</w:t>
            </w:r>
          </w:p>
        </w:tc>
      </w:tr>
    </w:tbl>
    <w:p w:rsidR="008D4F33" w:rsidRPr="006217E0" w:rsidRDefault="008D4F33" w:rsidP="006217E0">
      <w:pPr>
        <w:spacing w:after="0" w:line="276" w:lineRule="auto"/>
        <w:ind w:left="-994" w:right="32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080"/>
        <w:gridCol w:w="6521"/>
      </w:tblGrid>
      <w:tr w:rsidR="00F533BD" w:rsidRPr="006217E0" w:rsidTr="006217E0">
        <w:trPr>
          <w:trHeight w:val="68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3" w:line="27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3BD" w:rsidRPr="006217E0" w:rsidRDefault="00F533BD" w:rsidP="006217E0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«Поварята»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различать крупы, из которых готовятся 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каши;  называть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растения, из которых получают соответствующие крупы. </w:t>
            </w:r>
          </w:p>
        </w:tc>
      </w:tr>
      <w:tr w:rsidR="00F533BD" w:rsidRPr="006217E0" w:rsidTr="006217E0">
        <w:trPr>
          <w:trHeight w:val="69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4" w:line="27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«Секреты обеда»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представления об обеде как обязательном компоненте ежедневного рациона питания, его структуре. </w:t>
            </w:r>
          </w:p>
        </w:tc>
      </w:tr>
      <w:tr w:rsidR="00F533BD" w:rsidRPr="006217E0" w:rsidTr="006217E0">
        <w:trPr>
          <w:trHeight w:val="55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«Полдник. Время есть булочки»2ч.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вариантами полдника, дать представление о значении молока и молочных продуктов. </w:t>
            </w:r>
          </w:p>
        </w:tc>
      </w:tr>
      <w:tr w:rsidR="00F533BD" w:rsidRPr="006217E0" w:rsidTr="006217E0">
        <w:trPr>
          <w:trHeight w:val="6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«Пора ужинать»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том, что ужин - время последнего приема пищи, какие продукты нужно есть на ужин. </w:t>
            </w:r>
          </w:p>
        </w:tc>
      </w:tr>
      <w:tr w:rsidR="00F533BD" w:rsidRPr="006217E0" w:rsidTr="006217E0">
        <w:trPr>
          <w:trHeight w:val="69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4" w:line="276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«Отгадай название»2ч.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внешним видом сушеных ягод и фруктов, учить узнавать и правильно называть их. </w:t>
            </w:r>
          </w:p>
        </w:tc>
      </w:tr>
      <w:tr w:rsidR="00F533BD" w:rsidRPr="006217E0" w:rsidTr="006217E0">
        <w:trPr>
          <w:trHeight w:val="61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4" w:line="276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«Вкусные истории»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приготовлением различных блюд из ягод. </w:t>
            </w:r>
          </w:p>
        </w:tc>
      </w:tr>
      <w:tr w:rsidR="00F533BD" w:rsidRPr="006217E0" w:rsidTr="006217E0">
        <w:trPr>
          <w:trHeight w:val="76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after="24" w:line="27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утолить жажду»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представление о значении жидкости для организма человека, ценности разнообразных напитков. </w:t>
            </w:r>
          </w:p>
        </w:tc>
      </w:tr>
      <w:tr w:rsidR="00F533BD" w:rsidRPr="006217E0" w:rsidTr="006217E0">
        <w:trPr>
          <w:trHeight w:val="65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«Овощи, ягоды и фрукты – витаминные продукты»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 детей о пользе овощей, фруктов, ягод. </w:t>
            </w:r>
          </w:p>
        </w:tc>
      </w:tr>
      <w:tr w:rsidR="00F533BD" w:rsidRPr="006217E0" w:rsidTr="006217E0">
        <w:trPr>
          <w:trHeight w:val="118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33BD" w:rsidRPr="006217E0" w:rsidRDefault="00F533BD" w:rsidP="006217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«Каждому овощу свое время»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 представления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времени созревания овощей и фруктов. </w:t>
            </w:r>
          </w:p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 о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пользе овощей, фруктов, ягод; о том, что полезно есть разные овощи и фрукты круглый год. </w:t>
            </w:r>
          </w:p>
        </w:tc>
      </w:tr>
      <w:tr w:rsidR="00F533BD" w:rsidRPr="006217E0" w:rsidTr="006217E0">
        <w:trPr>
          <w:trHeight w:val="67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«Вершки и корешки» 2ч.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Выявить знания детей о тех частях растений, которые употребляет человек в пищу. </w:t>
            </w:r>
          </w:p>
        </w:tc>
      </w:tr>
      <w:tr w:rsidR="00F533BD" w:rsidRPr="006217E0" w:rsidTr="006217E0">
        <w:trPr>
          <w:trHeight w:val="8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2</w:t>
            </w:r>
            <w:proofErr w:type="gramStart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>ч.правильного</w:t>
            </w:r>
            <w:proofErr w:type="gramEnd"/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питания»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BD" w:rsidRPr="006217E0" w:rsidRDefault="00F533BD" w:rsidP="006217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 детей основных правил правильного питания.  </w:t>
            </w:r>
          </w:p>
        </w:tc>
      </w:tr>
    </w:tbl>
    <w:p w:rsidR="006217E0" w:rsidRDefault="007E6280" w:rsidP="006217E0">
      <w:pPr>
        <w:spacing w:after="5" w:line="276" w:lineRule="auto"/>
        <w:ind w:left="-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7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260338" cy="192024"/>
                <wp:effectExtent l="0" t="0" r="0" b="0"/>
                <wp:docPr id="37322" name="Group 3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338" cy="192024"/>
                          <a:chOff x="0" y="0"/>
                          <a:chExt cx="6260338" cy="192024"/>
                        </a:xfrm>
                      </wpg:grpSpPr>
                      <wps:wsp>
                        <wps:cNvPr id="39061" name="Shape 39061"/>
                        <wps:cNvSpPr/>
                        <wps:spPr>
                          <a:xfrm>
                            <a:off x="0" y="0"/>
                            <a:ext cx="6254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242" h="9144">
                                <a:moveTo>
                                  <a:pt x="0" y="0"/>
                                </a:moveTo>
                                <a:lnTo>
                                  <a:pt x="6254242" y="0"/>
                                </a:lnTo>
                                <a:lnTo>
                                  <a:pt x="6254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2" name="Shape 39062"/>
                        <wps:cNvSpPr/>
                        <wps:spPr>
                          <a:xfrm>
                            <a:off x="6254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3" name="Shape 39063"/>
                        <wps:cNvSpPr/>
                        <wps:spPr>
                          <a:xfrm>
                            <a:off x="6254242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22" style="width:492.94pt;height:15.12pt;mso-position-horizontal-relative:char;mso-position-vertical-relative:line" coordsize="62603,1920">
                <v:shape id="Shape 39064" style="position:absolute;width:62542;height:91;left:0;top:0;" coordsize="6254242,9144" path="m0,0l6254242,0l6254242,9144l0,9144l0,0">
                  <v:stroke weight="0pt" endcap="flat" joinstyle="miter" miterlimit="10" on="false" color="#000000" opacity="0"/>
                  <v:fill on="true" color="#000000"/>
                </v:shape>
                <v:shape id="Shape 39065" style="position:absolute;width:91;height:91;left:6254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9066" style="position:absolute;width:91;height:1859;left:62542;top:60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217E0">
        <w:rPr>
          <w:rFonts w:ascii="Times New Roman" w:hAnsi="Times New Roman" w:cs="Times New Roman"/>
          <w:sz w:val="28"/>
          <w:szCs w:val="28"/>
        </w:rPr>
        <w:t xml:space="preserve"> </w:t>
      </w: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5" w:name="_GoBack"/>
      <w:bookmarkEnd w:id="5"/>
    </w:p>
    <w:p w:rsidR="00760DB1" w:rsidRPr="006217E0" w:rsidRDefault="00760DB1" w:rsidP="006217E0">
      <w:pPr>
        <w:spacing w:after="5" w:line="276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Методическое обеспечение Программы</w:t>
      </w:r>
    </w:p>
    <w:p w:rsidR="00760DB1" w:rsidRPr="006217E0" w:rsidRDefault="00760DB1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1.М. М. Безруких, Т. А. Филиппова, А. Г. Макеева «Разговор о правильном питании», методическое пособие для учителя. – М.: ОЛМА Медиа Групп, 2010. – 80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с..</w:t>
      </w:r>
      <w:proofErr w:type="gramEnd"/>
    </w:p>
    <w:p w:rsidR="00760DB1" w:rsidRPr="006217E0" w:rsidRDefault="00760DB1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2.М. М. Безруких, Т. А. Филиппова. «Разговор о правильном питании», Рабочая тетрадь. – М.: ОЛМА Медиа Групп, 2011. – 72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с..</w:t>
      </w:r>
      <w:proofErr w:type="gramEnd"/>
    </w:p>
    <w:p w:rsidR="00760DB1" w:rsidRPr="006217E0" w:rsidRDefault="00760DB1" w:rsidP="006217E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М.М.Безруких</w:t>
      </w:r>
      <w:proofErr w:type="spell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Т.А</w:t>
      </w:r>
      <w:proofErr w:type="gram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Филиппова, </w:t>
      </w:r>
      <w:proofErr w:type="spellStart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>А.Г.Макеева</w:t>
      </w:r>
      <w:proofErr w:type="spellEnd"/>
      <w:r w:rsidRPr="00621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Методические рекомендации. Формирование культуры здорового питания обучающихся, воспитанников. Москва, Институт возрастной физиологии РАО – 2012 г. – c.13-18</w:t>
      </w:r>
    </w:p>
    <w:p w:rsidR="00760DB1" w:rsidRPr="006217E0" w:rsidRDefault="00760DB1" w:rsidP="006217E0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0DB1" w:rsidRPr="0048237C" w:rsidRDefault="00760DB1" w:rsidP="00760DB1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4F33" w:rsidRPr="0048237C" w:rsidRDefault="008D4F33" w:rsidP="00760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F33" w:rsidRPr="0048237C" w:rsidSect="00046ABD">
      <w:footerReference w:type="default" r:id="rId7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01" w:rsidRDefault="00587F01" w:rsidP="00F533BD">
      <w:pPr>
        <w:spacing w:after="0" w:line="240" w:lineRule="auto"/>
      </w:pPr>
      <w:r>
        <w:separator/>
      </w:r>
    </w:p>
  </w:endnote>
  <w:endnote w:type="continuationSeparator" w:id="0">
    <w:p w:rsidR="00587F01" w:rsidRDefault="00587F01" w:rsidP="00F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193175"/>
      <w:docPartObj>
        <w:docPartGallery w:val="Page Numbers (Bottom of Page)"/>
        <w:docPartUnique/>
      </w:docPartObj>
    </w:sdtPr>
    <w:sdtEndPr/>
    <w:sdtContent>
      <w:p w:rsidR="00F533BD" w:rsidRDefault="00F533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533BD" w:rsidRDefault="00F53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01" w:rsidRDefault="00587F01" w:rsidP="00F533BD">
      <w:pPr>
        <w:spacing w:after="0" w:line="240" w:lineRule="auto"/>
      </w:pPr>
      <w:r>
        <w:separator/>
      </w:r>
    </w:p>
  </w:footnote>
  <w:footnote w:type="continuationSeparator" w:id="0">
    <w:p w:rsidR="00587F01" w:rsidRDefault="00587F01" w:rsidP="00F5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1D6B"/>
    <w:multiLevelType w:val="hybridMultilevel"/>
    <w:tmpl w:val="85FC876C"/>
    <w:lvl w:ilvl="0" w:tplc="D9983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2531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A62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E9F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E1E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2D6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26F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807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2DA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33"/>
    <w:rsid w:val="00046ABD"/>
    <w:rsid w:val="002920A5"/>
    <w:rsid w:val="0048237C"/>
    <w:rsid w:val="00587F01"/>
    <w:rsid w:val="006217E0"/>
    <w:rsid w:val="00760DB1"/>
    <w:rsid w:val="007E6280"/>
    <w:rsid w:val="008D4F33"/>
    <w:rsid w:val="009C6944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2EC3"/>
  <w15:docId w15:val="{8C90E7E6-8320-45BA-BCC0-758C79D9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3B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F5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3BD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0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Марина Арсеньевна</dc:creator>
  <cp:keywords/>
  <cp:lastModifiedBy>Галина</cp:lastModifiedBy>
  <cp:revision>4</cp:revision>
  <cp:lastPrinted>2022-09-03T12:42:00Z</cp:lastPrinted>
  <dcterms:created xsi:type="dcterms:W3CDTF">2022-09-01T16:45:00Z</dcterms:created>
  <dcterms:modified xsi:type="dcterms:W3CDTF">2022-09-21T04:41:00Z</dcterms:modified>
</cp:coreProperties>
</file>